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1F" w:rsidRPr="00D3161F" w:rsidRDefault="00D3161F">
      <w:pPr>
        <w:rPr>
          <w:rFonts w:cs="Times New Roman"/>
          <w:szCs w:val="24"/>
        </w:rPr>
      </w:pPr>
    </w:p>
    <w:p w:rsidR="00D3161F" w:rsidRPr="00D3161F" w:rsidRDefault="00D3161F">
      <w:pPr>
        <w:rPr>
          <w:rFonts w:cs="Times New Roman"/>
          <w:szCs w:val="24"/>
        </w:rPr>
      </w:pPr>
    </w:p>
    <w:p w:rsidR="00D3161F" w:rsidRPr="00D3161F" w:rsidRDefault="00D3161F" w:rsidP="00D3161F">
      <w:pPr>
        <w:spacing w:after="0" w:line="240" w:lineRule="auto"/>
        <w:jc w:val="center"/>
        <w:rPr>
          <w:rFonts w:eastAsia="Times New Roman" w:cs="Times New Roman"/>
          <w:szCs w:val="24"/>
          <w:lang w:eastAsia="es-CO"/>
        </w:rPr>
      </w:pPr>
      <w:r w:rsidRPr="00D3161F">
        <w:rPr>
          <w:rFonts w:eastAsia="Times New Roman" w:cs="Times New Roman"/>
          <w:b/>
          <w:bCs/>
          <w:szCs w:val="24"/>
          <w:lang w:eastAsia="es-CO"/>
        </w:rPr>
        <w:t>OFICIO Nº 491 [011458]</w:t>
      </w:r>
    </w:p>
    <w:p w:rsidR="00D3161F" w:rsidRPr="00D3161F" w:rsidRDefault="00D3161F" w:rsidP="00D3161F">
      <w:pPr>
        <w:spacing w:after="0" w:line="240" w:lineRule="auto"/>
        <w:jc w:val="center"/>
        <w:rPr>
          <w:rFonts w:eastAsia="Times New Roman" w:cs="Times New Roman"/>
          <w:szCs w:val="24"/>
          <w:lang w:eastAsia="es-CO"/>
        </w:rPr>
      </w:pPr>
      <w:r w:rsidRPr="00D3161F">
        <w:rPr>
          <w:rFonts w:eastAsia="Times New Roman" w:cs="Times New Roman"/>
          <w:b/>
          <w:bCs/>
          <w:szCs w:val="24"/>
          <w:lang w:eastAsia="es-CO"/>
        </w:rPr>
        <w:t>14-05-2019</w:t>
      </w:r>
    </w:p>
    <w:p w:rsidR="00D3161F" w:rsidRPr="00D3161F" w:rsidRDefault="00D3161F" w:rsidP="00D3161F">
      <w:pPr>
        <w:spacing w:after="0" w:line="240" w:lineRule="auto"/>
        <w:jc w:val="center"/>
        <w:rPr>
          <w:rFonts w:eastAsia="Times New Roman" w:cs="Times New Roman"/>
          <w:szCs w:val="24"/>
          <w:lang w:eastAsia="es-CO"/>
        </w:rPr>
      </w:pPr>
      <w:r w:rsidRPr="00D3161F">
        <w:rPr>
          <w:rFonts w:eastAsia="Times New Roman" w:cs="Times New Roman"/>
          <w:b/>
          <w:bCs/>
          <w:szCs w:val="24"/>
          <w:lang w:eastAsia="es-CO"/>
        </w:rPr>
        <w:t>DIAN</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Dirección de Gestión Jurídica</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100202208 – 0491</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Bogotá, D.C.</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Reconsideración Oficio 100208221-853 del 5 de abril de 2019</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Estimado señor Zapata:</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De conformidad con el artículo 19 del Decreto 4048 de 2008 es función de este Despacho absolver las consultas escritas que se formulen sobre interpretación y aplicación de las normas tributarias de carácter nacional, aduaneras y cambiarias en lo de competencia de esta entidad.</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Mediante escrito radicado 100208221-853 del 5 de abril de 2019, la Subdirección de Gestión de Normativa y Doctrina de esta Entidad resolvió las siguientes consultas:</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1. ¿Será descontable en el impuesto sobre las ventas el IVA pagado en la adquisición, formación, construcción o adquisición de activos fijos reales productivos que no hayan sido tratados como descuento en el impuesto sobre la renta?</w:t>
      </w:r>
    </w:p>
    <w:p w:rsidR="00FD6991" w:rsidRDefault="00FD6991" w:rsidP="00D3161F">
      <w:pPr>
        <w:spacing w:after="0" w:line="240" w:lineRule="auto"/>
        <w:jc w:val="both"/>
        <w:rPr>
          <w:rFonts w:eastAsia="Times New Roman" w:cs="Times New Roman"/>
          <w:i/>
          <w:iCs/>
          <w:szCs w:val="24"/>
          <w:lang w:eastAsia="es-CO"/>
        </w:rPr>
      </w:pP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2. Con la derogatoria del </w:t>
      </w:r>
      <w:hyperlink r:id="rId4" w:tooltip="Estatuto Tributario CETA" w:history="1">
        <w:r w:rsidRPr="00D3161F">
          <w:rPr>
            <w:rFonts w:eastAsia="Times New Roman" w:cs="Times New Roman"/>
            <w:i/>
            <w:iCs/>
            <w:szCs w:val="24"/>
            <w:u w:val="single"/>
            <w:lang w:eastAsia="es-CO"/>
          </w:rPr>
          <w:t>artículo 491</w:t>
        </w:r>
      </w:hyperlink>
      <w:r w:rsidRPr="00D3161F">
        <w:rPr>
          <w:rFonts w:eastAsia="Times New Roman" w:cs="Times New Roman"/>
          <w:i/>
          <w:iCs/>
          <w:szCs w:val="24"/>
          <w:lang w:eastAsia="es-CO"/>
        </w:rPr>
        <w:t> del E.T., ¿el IVA pagado en activos fijos diferentes a activos fijos reales productivos será descontable en el impuesto sobre las ventas?</w:t>
      </w:r>
    </w:p>
    <w:p w:rsidR="00FD6991" w:rsidRDefault="00FD6991" w:rsidP="00D3161F">
      <w:pPr>
        <w:spacing w:after="0" w:line="240" w:lineRule="auto"/>
        <w:jc w:val="both"/>
        <w:rPr>
          <w:rFonts w:eastAsia="Times New Roman" w:cs="Times New Roman"/>
          <w:i/>
          <w:iCs/>
          <w:szCs w:val="24"/>
          <w:lang w:eastAsia="es-CO"/>
        </w:rPr>
      </w:pP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3. Para los no responsables del IVA, ¿el IVA de los activos fijos es deducible en la depuración del impuesto sobre la renta con base en el vigente </w:t>
      </w:r>
      <w:hyperlink r:id="rId5" w:tooltip="Estatuto Tributario CETA" w:history="1">
        <w:r w:rsidRPr="00D3161F">
          <w:rPr>
            <w:rFonts w:eastAsia="Times New Roman" w:cs="Times New Roman"/>
            <w:i/>
            <w:iCs/>
            <w:szCs w:val="24"/>
            <w:u w:val="single"/>
            <w:lang w:eastAsia="es-CO"/>
          </w:rPr>
          <w:t>artículo 491</w:t>
        </w:r>
      </w:hyperlink>
      <w:r w:rsidRPr="00D3161F">
        <w:rPr>
          <w:rFonts w:eastAsia="Times New Roman" w:cs="Times New Roman"/>
          <w:i/>
          <w:iCs/>
          <w:szCs w:val="24"/>
          <w:lang w:eastAsia="es-CO"/>
        </w:rPr>
        <w:t> del E.T?</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Al respecto se indica:</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1. </w:t>
      </w:r>
      <w:r w:rsidRPr="00D3161F">
        <w:rPr>
          <w:rFonts w:eastAsia="Times New Roman" w:cs="Times New Roman"/>
          <w:b/>
          <w:bCs/>
          <w:szCs w:val="24"/>
          <w:u w:val="single"/>
          <w:lang w:eastAsia="es-CO"/>
        </w:rPr>
        <w:t>Tratamiento del impuesto sobre las ventas (“IVA”) en la adquisición de activos fijos reales productivos, según los cambios incluidos por la Ley 1943 de 2018</w:t>
      </w:r>
      <w:r w:rsidRPr="00D3161F">
        <w:rPr>
          <w:rFonts w:eastAsia="Times New Roman" w:cs="Times New Roman"/>
          <w:b/>
          <w:bCs/>
          <w:szCs w:val="24"/>
          <w:lang w:eastAsia="es-CO"/>
        </w:rPr>
        <w:t>:</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1.1. Sobre el particular, se concluye que el IVA pagado en la adquisición, formación, o construcción de activos fijos reales productivos no podrá ser descontable del IVA. Esto, atendiendo al siguiente análisis:</w:t>
      </w:r>
    </w:p>
    <w:p w:rsidR="00FD6991" w:rsidRDefault="00FD6991" w:rsidP="00D3161F">
      <w:pPr>
        <w:spacing w:after="0" w:line="240" w:lineRule="auto"/>
        <w:jc w:val="both"/>
        <w:rPr>
          <w:rFonts w:eastAsia="Times New Roman" w:cs="Times New Roman"/>
          <w:szCs w:val="24"/>
          <w:lang w:eastAsia="es-CO"/>
        </w:rPr>
      </w:pPr>
    </w:p>
    <w:p w:rsidR="00FD6991" w:rsidRDefault="00D3161F" w:rsidP="00D3161F">
      <w:pPr>
        <w:spacing w:after="0" w:line="240" w:lineRule="auto"/>
        <w:jc w:val="both"/>
        <w:rPr>
          <w:rFonts w:eastAsia="Times New Roman" w:cs="Times New Roman"/>
          <w:i/>
          <w:iCs/>
          <w:szCs w:val="24"/>
          <w:lang w:eastAsia="es-CO"/>
        </w:rPr>
      </w:pPr>
      <w:r w:rsidRPr="00D3161F">
        <w:rPr>
          <w:rFonts w:eastAsia="Times New Roman" w:cs="Times New Roman"/>
          <w:szCs w:val="24"/>
          <w:lang w:eastAsia="es-CO"/>
        </w:rPr>
        <w:t>1.2. De conformidad con los efectos incorporados en el </w:t>
      </w:r>
      <w:hyperlink r:id="rId6" w:tooltip="Estatuto Tributario CETA" w:history="1">
        <w:r w:rsidRPr="00D3161F">
          <w:rPr>
            <w:rFonts w:eastAsia="Times New Roman" w:cs="Times New Roman"/>
            <w:szCs w:val="24"/>
            <w:u w:val="single"/>
            <w:lang w:eastAsia="es-CO"/>
          </w:rPr>
          <w:t>artículo 258-1</w:t>
        </w:r>
      </w:hyperlink>
      <w:r w:rsidRPr="00D3161F">
        <w:rPr>
          <w:rFonts w:eastAsia="Times New Roman" w:cs="Times New Roman"/>
          <w:szCs w:val="24"/>
          <w:lang w:eastAsia="es-CO"/>
        </w:rPr>
        <w:t> del Estatuto Tributario (“E.T”), </w:t>
      </w:r>
      <w:r w:rsidRPr="00D3161F">
        <w:rPr>
          <w:rFonts w:eastAsia="Times New Roman" w:cs="Times New Roman"/>
          <w:i/>
          <w:iCs/>
          <w:szCs w:val="24"/>
          <w:lang w:eastAsia="es-CO"/>
        </w:rPr>
        <w:t xml:space="preserve">“El IVA de que trata esta disposición no podrá tomarse simultáneamente como costo o gasto en el impuesto sobre la renta ni será descontable del impuesto sobre las ventas </w:t>
      </w:r>
    </w:p>
    <w:p w:rsidR="00FD6991" w:rsidRDefault="00FD6991" w:rsidP="00D3161F">
      <w:pPr>
        <w:spacing w:after="0" w:line="240" w:lineRule="auto"/>
        <w:jc w:val="both"/>
        <w:rPr>
          <w:rFonts w:eastAsia="Times New Roman" w:cs="Times New Roman"/>
          <w:i/>
          <w:iCs/>
          <w:szCs w:val="24"/>
          <w:lang w:eastAsia="es-CO"/>
        </w:rPr>
      </w:pPr>
    </w:p>
    <w:p w:rsidR="00D3161F" w:rsidRPr="00FD6991" w:rsidRDefault="00D3161F" w:rsidP="00D3161F">
      <w:pPr>
        <w:spacing w:after="0" w:line="240" w:lineRule="auto"/>
        <w:jc w:val="both"/>
        <w:rPr>
          <w:rFonts w:eastAsia="Times New Roman" w:cs="Times New Roman"/>
          <w:b/>
          <w:szCs w:val="24"/>
          <w:u w:val="single"/>
          <w:lang w:eastAsia="es-CO"/>
        </w:rPr>
      </w:pPr>
      <w:r w:rsidRPr="00FD6991">
        <w:rPr>
          <w:rFonts w:eastAsia="Times New Roman" w:cs="Times New Roman"/>
          <w:b/>
          <w:i/>
          <w:iCs/>
          <w:szCs w:val="24"/>
          <w:lang w:eastAsia="es-CO"/>
        </w:rPr>
        <w:t>– IVA”. </w:t>
      </w:r>
      <w:r w:rsidRPr="00FD6991">
        <w:rPr>
          <w:rFonts w:eastAsia="Times New Roman" w:cs="Times New Roman"/>
          <w:b/>
          <w:szCs w:val="24"/>
          <w:lang w:eastAsia="es-CO"/>
        </w:rPr>
        <w:t xml:space="preserve">Esto indica que el IVA pagado en los escenarios que dispone la norma citada, </w:t>
      </w:r>
      <w:r w:rsidRPr="009638E7">
        <w:rPr>
          <w:rFonts w:eastAsia="Times New Roman" w:cs="Times New Roman"/>
          <w:b/>
          <w:sz w:val="32"/>
          <w:szCs w:val="32"/>
          <w:lang w:eastAsia="es-CO"/>
        </w:rPr>
        <w:t>no podrá ser tomado como descuento en IVA</w:t>
      </w:r>
      <w:r w:rsidRPr="00FD6991">
        <w:rPr>
          <w:rFonts w:eastAsia="Times New Roman" w:cs="Times New Roman"/>
          <w:b/>
          <w:szCs w:val="24"/>
          <w:lang w:eastAsia="es-CO"/>
        </w:rPr>
        <w:t xml:space="preserve">, </w:t>
      </w:r>
      <w:r w:rsidRPr="00FD6991">
        <w:rPr>
          <w:rFonts w:eastAsia="Times New Roman" w:cs="Times New Roman"/>
          <w:b/>
          <w:szCs w:val="24"/>
          <w:u w:val="single"/>
          <w:lang w:eastAsia="es-CO"/>
        </w:rPr>
        <w:t>pero sí en el Impuesto sobre la renta y complementarios.</w:t>
      </w:r>
    </w:p>
    <w:p w:rsidR="00D3161F" w:rsidRPr="00FD6991" w:rsidRDefault="00D3161F" w:rsidP="00D3161F">
      <w:pPr>
        <w:spacing w:after="0" w:line="240" w:lineRule="auto"/>
        <w:jc w:val="both"/>
        <w:rPr>
          <w:rFonts w:eastAsia="Times New Roman" w:cs="Times New Roman"/>
          <w:szCs w:val="24"/>
          <w:u w:val="single"/>
          <w:lang w:eastAsia="es-CO"/>
        </w:rPr>
      </w:pPr>
      <w:r w:rsidRPr="00FD6991">
        <w:rPr>
          <w:rFonts w:eastAsia="Times New Roman" w:cs="Times New Roman"/>
          <w:szCs w:val="24"/>
          <w:u w:val="single"/>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2. </w:t>
      </w:r>
      <w:r w:rsidRPr="00D3161F">
        <w:rPr>
          <w:rFonts w:eastAsia="Times New Roman" w:cs="Times New Roman"/>
          <w:b/>
          <w:bCs/>
          <w:szCs w:val="24"/>
          <w:u w:val="single"/>
          <w:lang w:eastAsia="es-CO"/>
        </w:rPr>
        <w:t>Tratamiento del IVA en la adquisición de activos fijos, según los cambios incluidos por la Ley 1943 de 2018</w:t>
      </w:r>
      <w:r w:rsidRPr="00D3161F">
        <w:rPr>
          <w:rFonts w:eastAsia="Times New Roman" w:cs="Times New Roman"/>
          <w:b/>
          <w:bCs/>
          <w:szCs w:val="24"/>
          <w:lang w:eastAsia="es-CO"/>
        </w:rPr>
        <w:t>:</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lastRenderedPageBreak/>
        <w:t>2.1. De acuerdo a las consideraciones de este despacho, se reitera la posición expuesta en el Oficio 004429 del 22 de febrero de 2019, en el que se concluye que no procede el IVA pagado en activos fijos como descuento en IVA. Esto se fundamenta en lo siguiente:</w:t>
      </w:r>
    </w:p>
    <w:p w:rsidR="009638E7" w:rsidRDefault="009638E7" w:rsidP="00D3161F">
      <w:pPr>
        <w:spacing w:after="0" w:line="240" w:lineRule="auto"/>
        <w:jc w:val="both"/>
        <w:rPr>
          <w:rFonts w:eastAsia="Times New Roman" w:cs="Times New Roman"/>
          <w:szCs w:val="24"/>
          <w:lang w:eastAsia="es-CO"/>
        </w:rPr>
      </w:pP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2.2. El </w:t>
      </w:r>
      <w:hyperlink r:id="rId7" w:tooltip="Estatuto Tributario CETA" w:history="1">
        <w:r w:rsidRPr="00D3161F">
          <w:rPr>
            <w:rFonts w:eastAsia="Times New Roman" w:cs="Times New Roman"/>
            <w:szCs w:val="24"/>
            <w:u w:val="single"/>
            <w:lang w:eastAsia="es-CO"/>
          </w:rPr>
          <w:t>artículo 60</w:t>
        </w:r>
      </w:hyperlink>
      <w:r w:rsidRPr="00D3161F">
        <w:rPr>
          <w:rFonts w:eastAsia="Times New Roman" w:cs="Times New Roman"/>
          <w:szCs w:val="24"/>
          <w:lang w:eastAsia="es-CO"/>
        </w:rPr>
        <w:t> del E.T. define a los activos fijos como aquellos “(…) bienes corporales muebles o inmuebles y los incorporales que no se enajenan dentro del giro ordinario de los negocios del contribuyente.” Adicionando que, para los obligados a llevar contabilidad, son activos fijos </w:t>
      </w:r>
      <w:r w:rsidRPr="00D3161F">
        <w:rPr>
          <w:rFonts w:eastAsia="Times New Roman" w:cs="Times New Roman"/>
          <w:i/>
          <w:iCs/>
          <w:szCs w:val="24"/>
          <w:lang w:eastAsia="es-CO"/>
        </w:rPr>
        <w:t>“(…) todos aquellos activos diferentes a los inventarios y se clasificarán de acuerdo con los nuevos marcos técnicos normativos, tales como propiedad, planta y equipo, propiedades de inversión, activos no corrientes mantenidos para la venta.”</w:t>
      </w:r>
    </w:p>
    <w:p w:rsidR="00FD6991" w:rsidRDefault="00FD6991" w:rsidP="00D3161F">
      <w:pPr>
        <w:spacing w:after="0" w:line="240" w:lineRule="auto"/>
        <w:jc w:val="both"/>
        <w:rPr>
          <w:rFonts w:eastAsia="Times New Roman" w:cs="Times New Roman"/>
          <w:szCs w:val="24"/>
          <w:lang w:eastAsia="es-CO"/>
        </w:rPr>
      </w:pP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2.3. En este sentido, se evidencia que la definición anterior difiere del concepto de costo, que para efectos del impuesto de renta y complementarios corresponde a las erogaciones encaminadas a la producción de bienes y servicios. Así mismo, es distante del significado de gasto, entendido como los recursos que cubre las necesidades que surgen al llevar a cabo la actividad generadora de renta.</w:t>
      </w:r>
    </w:p>
    <w:p w:rsidR="00FD6991" w:rsidRDefault="00FD6991" w:rsidP="00D3161F">
      <w:pPr>
        <w:spacing w:after="0" w:line="240" w:lineRule="auto"/>
        <w:jc w:val="both"/>
        <w:rPr>
          <w:rFonts w:eastAsia="Times New Roman" w:cs="Times New Roman"/>
          <w:szCs w:val="24"/>
          <w:lang w:eastAsia="es-CO"/>
        </w:rPr>
      </w:pPr>
    </w:p>
    <w:p w:rsidR="00D3161F" w:rsidRPr="009638E7" w:rsidRDefault="00D3161F" w:rsidP="00D3161F">
      <w:pPr>
        <w:spacing w:after="0" w:line="240" w:lineRule="auto"/>
        <w:jc w:val="both"/>
        <w:rPr>
          <w:rFonts w:eastAsia="Times New Roman" w:cs="Times New Roman"/>
          <w:b/>
          <w:sz w:val="32"/>
          <w:szCs w:val="32"/>
          <w:lang w:eastAsia="es-CO"/>
        </w:rPr>
      </w:pPr>
      <w:r w:rsidRPr="00D3161F">
        <w:rPr>
          <w:rFonts w:eastAsia="Times New Roman" w:cs="Times New Roman"/>
          <w:szCs w:val="24"/>
          <w:lang w:eastAsia="es-CO"/>
        </w:rPr>
        <w:t>2.4. Por lo anterior, se infiere que el IVA pagado en activos fijos no resulta computable como costo o gasto de acuerdo a las disposiciones del impuesto sobre la renta. Como consecuencia, y en concordancia con la reglamentación que prevé el </w:t>
      </w:r>
      <w:hyperlink r:id="rId8" w:tooltip="Estatuto Tributario CETA" w:history="1">
        <w:r w:rsidRPr="00D3161F">
          <w:rPr>
            <w:rFonts w:eastAsia="Times New Roman" w:cs="Times New Roman"/>
            <w:szCs w:val="24"/>
            <w:u w:val="single"/>
            <w:lang w:eastAsia="es-CO"/>
          </w:rPr>
          <w:t>artículo 488</w:t>
        </w:r>
      </w:hyperlink>
      <w:r w:rsidRPr="00D3161F">
        <w:rPr>
          <w:rFonts w:eastAsia="Times New Roman" w:cs="Times New Roman"/>
          <w:szCs w:val="24"/>
          <w:lang w:eastAsia="es-CO"/>
        </w:rPr>
        <w:t xml:space="preserve"> del E.T. </w:t>
      </w:r>
      <w:r w:rsidRPr="009638E7">
        <w:rPr>
          <w:rFonts w:eastAsia="Times New Roman" w:cs="Times New Roman"/>
          <w:b/>
          <w:sz w:val="32"/>
          <w:szCs w:val="32"/>
          <w:lang w:eastAsia="es-CO"/>
        </w:rPr>
        <w:t>sobre la procedencia de descontables en IVA, este no podrá tomarse como descuento en el impuesto sobre las ventas.</w:t>
      </w:r>
    </w:p>
    <w:p w:rsidR="00D3161F" w:rsidRPr="009638E7" w:rsidRDefault="00D3161F" w:rsidP="00D3161F">
      <w:pPr>
        <w:spacing w:after="0" w:line="240" w:lineRule="auto"/>
        <w:jc w:val="both"/>
        <w:rPr>
          <w:rFonts w:eastAsia="Times New Roman" w:cs="Times New Roman"/>
          <w:sz w:val="32"/>
          <w:szCs w:val="32"/>
          <w:lang w:eastAsia="es-CO"/>
        </w:rPr>
      </w:pPr>
      <w:r w:rsidRPr="009638E7">
        <w:rPr>
          <w:rFonts w:eastAsia="Times New Roman" w:cs="Times New Roman"/>
          <w:sz w:val="32"/>
          <w:szCs w:val="32"/>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3. </w:t>
      </w:r>
      <w:r w:rsidRPr="00D3161F">
        <w:rPr>
          <w:rFonts w:eastAsia="Times New Roman" w:cs="Times New Roman"/>
          <w:b/>
          <w:bCs/>
          <w:szCs w:val="24"/>
          <w:u w:val="single"/>
          <w:lang w:eastAsia="es-CO"/>
        </w:rPr>
        <w:t>Vigencia del </w:t>
      </w:r>
      <w:hyperlink r:id="rId9" w:tooltip="Estatuto Tributario CETA" w:history="1">
        <w:r w:rsidRPr="00D3161F">
          <w:rPr>
            <w:rFonts w:eastAsia="Times New Roman" w:cs="Times New Roman"/>
            <w:b/>
            <w:bCs/>
            <w:szCs w:val="24"/>
            <w:u w:val="single"/>
            <w:lang w:eastAsia="es-CO"/>
          </w:rPr>
          <w:t>artículo 491</w:t>
        </w:r>
      </w:hyperlink>
      <w:r w:rsidRPr="00D3161F">
        <w:rPr>
          <w:rFonts w:eastAsia="Times New Roman" w:cs="Times New Roman"/>
          <w:b/>
          <w:bCs/>
          <w:szCs w:val="24"/>
          <w:u w:val="single"/>
          <w:lang w:eastAsia="es-CO"/>
        </w:rPr>
        <w:t> del E.T.</w:t>
      </w:r>
      <w:r w:rsidRPr="00D3161F">
        <w:rPr>
          <w:rFonts w:eastAsia="Times New Roman" w:cs="Times New Roman"/>
          <w:b/>
          <w:bCs/>
          <w:szCs w:val="24"/>
          <w:lang w:eastAsia="es-CO"/>
        </w:rPr>
        <w:t>:</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3.1. La entrada en vigencia de la Ley 1943 de 2018 derogó expresamente el </w:t>
      </w:r>
      <w:hyperlink r:id="rId10" w:tooltip="Estatuto Tributario CETA" w:history="1">
        <w:r w:rsidRPr="00D3161F">
          <w:rPr>
            <w:rFonts w:eastAsia="Times New Roman" w:cs="Times New Roman"/>
            <w:szCs w:val="24"/>
            <w:u w:val="single"/>
            <w:lang w:eastAsia="es-CO"/>
          </w:rPr>
          <w:t>artículo 491</w:t>
        </w:r>
      </w:hyperlink>
      <w:r w:rsidRPr="00D3161F">
        <w:rPr>
          <w:rFonts w:eastAsia="Times New Roman" w:cs="Times New Roman"/>
          <w:szCs w:val="24"/>
          <w:lang w:eastAsia="es-CO"/>
        </w:rPr>
        <w:t> del E.T., de forma que desde ese momento cesaron sus efectos.</w:t>
      </w:r>
    </w:p>
    <w:p w:rsidR="00D3161F" w:rsidRPr="00D3161F" w:rsidRDefault="00D3161F" w:rsidP="00D3161F">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D3161F" w:rsidRPr="00F16B67" w:rsidRDefault="00D3161F" w:rsidP="00D3161F">
      <w:pPr>
        <w:spacing w:after="0" w:line="240" w:lineRule="auto"/>
        <w:jc w:val="both"/>
        <w:rPr>
          <w:rFonts w:eastAsia="Times New Roman" w:cs="Times New Roman"/>
          <w:b/>
          <w:sz w:val="32"/>
          <w:szCs w:val="32"/>
          <w:u w:val="single"/>
          <w:lang w:eastAsia="es-CO"/>
        </w:rPr>
      </w:pPr>
      <w:r w:rsidRPr="00F16B67">
        <w:rPr>
          <w:rFonts w:eastAsia="Times New Roman" w:cs="Times New Roman"/>
          <w:sz w:val="32"/>
          <w:szCs w:val="32"/>
          <w:lang w:eastAsia="es-CO"/>
        </w:rPr>
        <w:t xml:space="preserve">En los anteriores términos se da respuesta a su consulta </w:t>
      </w:r>
      <w:r w:rsidRPr="00F16B67">
        <w:rPr>
          <w:rFonts w:eastAsia="Times New Roman" w:cs="Times New Roman"/>
          <w:b/>
          <w:sz w:val="32"/>
          <w:szCs w:val="32"/>
          <w:u w:val="single"/>
          <w:lang w:eastAsia="es-CO"/>
        </w:rPr>
        <w:t>y se reconsidera el primer punto del Concepto Nº 000853 del 05 de abril de 2019.</w:t>
      </w:r>
    </w:p>
    <w:p w:rsidR="007A72F0" w:rsidRPr="00F16B67" w:rsidRDefault="007A72F0" w:rsidP="007A72F0">
      <w:pPr>
        <w:rPr>
          <w:rFonts w:cs="Times New Roman"/>
          <w:sz w:val="32"/>
          <w:szCs w:val="32"/>
        </w:rPr>
      </w:pPr>
      <w:bookmarkStart w:id="0" w:name="_GoBack"/>
      <w:bookmarkEnd w:id="0"/>
    </w:p>
    <w:p w:rsidR="007A72F0" w:rsidRPr="007A72F0" w:rsidRDefault="007A72F0" w:rsidP="007A72F0">
      <w:pPr>
        <w:rPr>
          <w:rFonts w:cs="Times New Roman"/>
          <w:szCs w:val="24"/>
        </w:rPr>
      </w:pPr>
      <w:r w:rsidRPr="007A72F0">
        <w:rPr>
          <w:rFonts w:cs="Times New Roman"/>
          <w:szCs w:val="24"/>
        </w:rPr>
        <w:t>Atentamente,</w:t>
      </w:r>
    </w:p>
    <w:p w:rsidR="007A72F0" w:rsidRPr="007A72F0" w:rsidRDefault="007A72F0" w:rsidP="007A72F0">
      <w:pPr>
        <w:rPr>
          <w:rFonts w:cs="Times New Roman"/>
          <w:szCs w:val="24"/>
        </w:rPr>
      </w:pPr>
      <w:r w:rsidRPr="007A72F0">
        <w:rPr>
          <w:rFonts w:cs="Times New Roman"/>
          <w:szCs w:val="24"/>
        </w:rPr>
        <w:t>LILIANA ANDREA FORERO GÓMEZ</w:t>
      </w:r>
    </w:p>
    <w:p w:rsidR="007A72F0" w:rsidRPr="007A72F0" w:rsidRDefault="007A72F0" w:rsidP="007A72F0">
      <w:pPr>
        <w:rPr>
          <w:rFonts w:cs="Times New Roman"/>
          <w:szCs w:val="24"/>
        </w:rPr>
      </w:pPr>
      <w:r w:rsidRPr="007A72F0">
        <w:rPr>
          <w:rFonts w:cs="Times New Roman"/>
          <w:szCs w:val="24"/>
        </w:rPr>
        <w:t>Directora de Gestión Jurídica</w:t>
      </w:r>
    </w:p>
    <w:p w:rsidR="007A72F0" w:rsidRPr="007A72F0" w:rsidRDefault="007A72F0" w:rsidP="007A72F0">
      <w:pPr>
        <w:rPr>
          <w:rFonts w:cs="Times New Roman"/>
          <w:szCs w:val="24"/>
        </w:rPr>
      </w:pPr>
      <w:r w:rsidRPr="007A72F0">
        <w:rPr>
          <w:rFonts w:cs="Times New Roman"/>
          <w:szCs w:val="24"/>
        </w:rPr>
        <w:t>UAE-DIAN</w:t>
      </w:r>
    </w:p>
    <w:p w:rsidR="007A72F0" w:rsidRPr="007A72F0" w:rsidRDefault="007A72F0" w:rsidP="007A72F0">
      <w:pPr>
        <w:rPr>
          <w:rFonts w:cs="Times New Roman"/>
          <w:szCs w:val="24"/>
        </w:rPr>
      </w:pPr>
    </w:p>
    <w:p w:rsidR="007A72F0" w:rsidRPr="007A72F0" w:rsidRDefault="007A72F0" w:rsidP="007A72F0">
      <w:pPr>
        <w:rPr>
          <w:rFonts w:cs="Times New Roman"/>
          <w:szCs w:val="24"/>
        </w:rPr>
      </w:pPr>
      <w:r w:rsidRPr="007A72F0">
        <w:rPr>
          <w:rFonts w:cs="Times New Roman"/>
          <w:szCs w:val="24"/>
        </w:rPr>
        <w:t xml:space="preserve"> </w:t>
      </w:r>
    </w:p>
    <w:p w:rsidR="007A72F0" w:rsidRPr="007A72F0" w:rsidRDefault="007A72F0" w:rsidP="007A72F0">
      <w:pPr>
        <w:rPr>
          <w:rFonts w:cs="Times New Roman"/>
          <w:szCs w:val="24"/>
        </w:rPr>
      </w:pPr>
    </w:p>
    <w:p w:rsidR="00D3161F" w:rsidRPr="00D3161F" w:rsidRDefault="00D3161F">
      <w:pPr>
        <w:rPr>
          <w:rFonts w:cs="Times New Roman"/>
          <w:szCs w:val="24"/>
        </w:rPr>
      </w:pPr>
    </w:p>
    <w:p w:rsidR="00730617" w:rsidRPr="00D3161F" w:rsidRDefault="00730617">
      <w:pPr>
        <w:rPr>
          <w:rFonts w:cs="Times New Roman"/>
          <w:szCs w:val="24"/>
        </w:rPr>
      </w:pPr>
    </w:p>
    <w:sectPr w:rsidR="00730617" w:rsidRPr="00D3161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1F"/>
    <w:rsid w:val="00730617"/>
    <w:rsid w:val="007A72F0"/>
    <w:rsid w:val="009638E7"/>
    <w:rsid w:val="00A45230"/>
    <w:rsid w:val="00D3161F"/>
    <w:rsid w:val="00F16B67"/>
    <w:rsid w:val="00FD69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151B"/>
  <w15:chartTrackingRefBased/>
  <w15:docId w15:val="{86249B7B-CE3C-4E7B-BF4C-D157B31A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53018">
      <w:bodyDiv w:val="1"/>
      <w:marLeft w:val="0"/>
      <w:marRight w:val="0"/>
      <w:marTop w:val="0"/>
      <w:marBottom w:val="0"/>
      <w:divBdr>
        <w:top w:val="none" w:sz="0" w:space="0" w:color="auto"/>
        <w:left w:val="none" w:sz="0" w:space="0" w:color="auto"/>
        <w:bottom w:val="none" w:sz="0" w:space="0" w:color="auto"/>
        <w:right w:val="none" w:sz="0" w:space="0" w:color="auto"/>
      </w:divBdr>
    </w:div>
    <w:div w:id="1530605559">
      <w:bodyDiv w:val="1"/>
      <w:marLeft w:val="0"/>
      <w:marRight w:val="0"/>
      <w:marTop w:val="0"/>
      <w:marBottom w:val="0"/>
      <w:divBdr>
        <w:top w:val="none" w:sz="0" w:space="0" w:color="auto"/>
        <w:left w:val="none" w:sz="0" w:space="0" w:color="auto"/>
        <w:bottom w:val="none" w:sz="0" w:space="0" w:color="auto"/>
        <w:right w:val="none" w:sz="0" w:space="0" w:color="auto"/>
      </w:divBdr>
    </w:div>
    <w:div w:id="1866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1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32" TargetMode="External"/><Relationship Id="rId11" Type="http://schemas.openxmlformats.org/officeDocument/2006/relationships/fontTable" Target="fontTable.xml"/><Relationship Id="rId5" Type="http://schemas.openxmlformats.org/officeDocument/2006/relationships/hyperlink" Target="https://www.ceta.org.co/html/vista_de_un_articulo.asp?Norma=617" TargetMode="External"/><Relationship Id="rId10" Type="http://schemas.openxmlformats.org/officeDocument/2006/relationships/hyperlink" Target="https://www.ceta.org.co/html/vista_de_un_articulo.asp?Norma=617" TargetMode="External"/><Relationship Id="rId4" Type="http://schemas.openxmlformats.org/officeDocument/2006/relationships/hyperlink" Target="https://www.ceta.org.co/html/vista_de_un_articulo.asp?Norma=617" TargetMode="External"/><Relationship Id="rId9" Type="http://schemas.openxmlformats.org/officeDocument/2006/relationships/hyperlink" Target="https://www.ceta.org.co/html/vista_de_un_articulo.asp?Norma=6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2019-05-17T16:23:00Z</dcterms:created>
  <dcterms:modified xsi:type="dcterms:W3CDTF">2019-05-26T19:22:00Z</dcterms:modified>
</cp:coreProperties>
</file>